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560" w:lineRule="exact"/>
        <w:jc w:val="both"/>
        <w:rPr>
          <w:rFonts w:ascii="仿宋_GB2312" w:hAnsi="仿宋_GB2312" w:eastAsia="仿宋_GB2312" w:cs="仿宋_GB2312"/>
          <w:b/>
          <w:bCs/>
          <w:color w:val="424849"/>
          <w:sz w:val="36"/>
          <w:szCs w:val="36"/>
        </w:rPr>
      </w:pPr>
      <w:r>
        <w:rPr>
          <w:rFonts w:hint="eastAsia" w:ascii="仿宋_GB2312" w:hAnsi="仿宋_GB2312" w:eastAsia="仿宋_GB2312" w:cs="仿宋_GB2312"/>
          <w:b/>
          <w:bCs/>
          <w:color w:val="424849"/>
          <w:sz w:val="36"/>
          <w:szCs w:val="36"/>
        </w:rPr>
        <w:t>附件</w:t>
      </w:r>
      <w:r>
        <w:rPr>
          <w:rFonts w:hint="eastAsia" w:ascii="仿宋_GB2312" w:hAnsi="仿宋_GB2312" w:eastAsia="仿宋_GB2312" w:cs="仿宋_GB2312"/>
          <w:b/>
          <w:bCs/>
          <w:color w:val="424849"/>
          <w:sz w:val="36"/>
          <w:szCs w:val="36"/>
          <w:lang w:val="en-US" w:eastAsia="zh-CN"/>
        </w:rPr>
        <w:t>1</w:t>
      </w:r>
      <w:bookmarkStart w:id="0" w:name="_GoBack"/>
      <w:bookmarkEnd w:id="0"/>
      <w:r>
        <w:rPr>
          <w:rFonts w:hint="eastAsia" w:ascii="仿宋_GB2312" w:hAnsi="仿宋_GB2312" w:eastAsia="仿宋_GB2312" w:cs="仿宋_GB2312"/>
          <w:b/>
          <w:bCs/>
          <w:color w:val="424849"/>
          <w:sz w:val="36"/>
          <w:szCs w:val="36"/>
        </w:rPr>
        <w:t>：立项说明</w:t>
      </w:r>
    </w:p>
    <w:p>
      <w:pPr>
        <w:pStyle w:val="5"/>
        <w:shd w:val="clear" w:color="auto" w:fill="FFFFFF"/>
        <w:spacing w:before="0" w:beforeAutospacing="0" w:after="0" w:afterAutospacing="0" w:line="560" w:lineRule="exact"/>
        <w:ind w:firstLine="723" w:firstLineChars="200"/>
        <w:jc w:val="both"/>
        <w:rPr>
          <w:rFonts w:ascii="仿宋_GB2312" w:hAnsi="仿宋_GB2312" w:eastAsia="仿宋_GB2312" w:cs="仿宋_GB2312"/>
          <w:b/>
          <w:bCs/>
          <w:color w:val="424849"/>
          <w:sz w:val="36"/>
          <w:szCs w:val="36"/>
        </w:rPr>
      </w:pPr>
    </w:p>
    <w:p>
      <w:pPr>
        <w:numPr>
          <w:ilvl w:val="0"/>
          <w:numId w:val="1"/>
        </w:numP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《油茶籽油质量安全提升与追溯信息采集规范》团体标准立项说明</w:t>
      </w:r>
    </w:p>
    <w:p>
      <w:pPr>
        <w:pStyle w:val="5"/>
        <w:shd w:val="clear" w:color="auto" w:fill="FFFFFF"/>
        <w:spacing w:before="0" w:beforeAutospacing="0" w:after="0" w:afterAutospacing="0" w:line="560" w:lineRule="exact"/>
        <w:ind w:firstLine="560" w:firstLineChars="200"/>
        <w:jc w:val="both"/>
        <w:rPr>
          <w:rFonts w:ascii="仿宋_GB2312" w:hAnsi="仿宋_GB2312" w:eastAsia="仿宋_GB2312" w:cs="仿宋_GB2312"/>
          <w:color w:val="424849"/>
          <w:sz w:val="28"/>
          <w:szCs w:val="28"/>
        </w:rPr>
      </w:pPr>
      <w:r>
        <w:rPr>
          <w:rFonts w:hint="eastAsia" w:ascii="仿宋_GB2312" w:hAnsi="仿宋_GB2312" w:eastAsia="仿宋_GB2312" w:cs="仿宋_GB2312"/>
          <w:color w:val="424849"/>
          <w:sz w:val="28"/>
          <w:szCs w:val="28"/>
        </w:rPr>
        <w:t>茶油是一种优质食用油，富含茶多酚、角鲨烯、维生素E等抗氧化物质，单不饱和脂肪酸含量普遍在80%以上，深受广大消费者喜爱。当前，我国主要的茶油加工企业主要分布于传统的油茶种植区域，如湖南、江西、福建、浙江、广西、河南、安徽等省份。从我国茶油市场需求构成来看，茶油的市场需求由两部分组成，一部分是国内消费量，一部分是出口量。国内消费量在茶油市场总需求量所占的比重接近100%，茶油出口量极少。随着国民经济的发展和人民生活水平的提高，以茶油为代表的高档优质食用油的需求量快速提升，我国要达到国家规划提出的年人均茶油消费量2公斤的目标，以此标准计算茶油供需缺口达200万吨以上，可以预见未来茶油市场需求非常旺盛。</w:t>
      </w:r>
    </w:p>
    <w:p>
      <w:pPr>
        <w:pStyle w:val="5"/>
        <w:shd w:val="clear" w:color="auto" w:fill="FFFFFF"/>
        <w:spacing w:before="0" w:beforeAutospacing="0" w:after="0" w:afterAutospacing="0" w:line="560" w:lineRule="exact"/>
        <w:ind w:firstLine="560" w:firstLineChars="200"/>
        <w:jc w:val="both"/>
        <w:rPr>
          <w:rFonts w:ascii="仿宋_GB2312" w:hAnsi="仿宋_GB2312" w:eastAsia="仿宋_GB2312" w:cs="仿宋_GB2312"/>
          <w:color w:val="424849"/>
          <w:sz w:val="28"/>
          <w:szCs w:val="28"/>
        </w:rPr>
      </w:pPr>
      <w:r>
        <w:rPr>
          <w:rFonts w:hint="eastAsia" w:ascii="仿宋_GB2312" w:hAnsi="仿宋_GB2312" w:eastAsia="仿宋_GB2312" w:cs="仿宋_GB2312"/>
          <w:color w:val="424849"/>
          <w:sz w:val="28"/>
          <w:szCs w:val="28"/>
        </w:rPr>
        <w:t>由于我国茶油行业目前的质量标准还比较宽松，没有突出茶油的特殊品质和营养价值的属性，导致市场上真假茶油难辨、茶油质量参差不齐、茶油价格悬殊，对油茶产业健康发展极其不利。我国现行使用的茶油质量国家标准《油茶籽油》(GB/T11765-2018)国标的侧重点是保基本，已经不能满足当前油茶产业的快速发展需要。市场发展，新技术、新产品、新服务还是需要茶油质量安全提升与追溯信息采集规范团体标准作为有效补充进一步规范行业的健康发展需要。因此制定《油茶籽油质量安全提升与追溯信息采集规范》团体标准是非常有必要的。</w:t>
      </w:r>
    </w:p>
    <w:p>
      <w:pPr>
        <w:pStyle w:val="8"/>
        <w:spacing w:before="143"/>
        <w:ind w:firstLine="560" w:firstLineChars="200"/>
        <w:rPr>
          <w:rFonts w:ascii="仿宋_GB2312" w:hAnsi="仿宋_GB2312" w:eastAsia="仿宋_GB2312" w:cs="仿宋_GB2312"/>
          <w:kern w:val="2"/>
          <w:sz w:val="28"/>
          <w:szCs w:val="28"/>
          <w:lang w:val="en-US" w:bidi="ar-SA"/>
        </w:rPr>
      </w:pPr>
      <w:r>
        <w:rPr>
          <w:rFonts w:hint="eastAsia" w:ascii="仿宋_GB2312" w:hAnsi="仿宋_GB2312" w:eastAsia="仿宋_GB2312" w:cs="仿宋_GB2312"/>
          <w:kern w:val="2"/>
          <w:sz w:val="28"/>
          <w:szCs w:val="28"/>
          <w:lang w:val="en-US" w:bidi="ar-SA"/>
        </w:rPr>
        <w:t>《油茶籽油质量安全提升与追溯信息采集规范》团体标准的制定，将有效解决油茶产业快速健康发展问题，为茶油产业提供统一的全国性质量标准的技术依据，保障茶油行业健康有序地发展，也是中国一乡一品产业促进计划助力和赋能茶油行业的一次有益贡献。具有一定的前瞻性，迎合未来发展需要，且能规范该领域秩序，有利于同行业参考借鉴。</w:t>
      </w:r>
    </w:p>
    <w:p>
      <w:pPr>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sz w:val="28"/>
          <w:szCs w:val="28"/>
        </w:rPr>
        <w:t>二、</w:t>
      </w:r>
      <w:r>
        <w:rPr>
          <w:rFonts w:ascii="仿宋_GB2312" w:hAnsi="仿宋_GB2312" w:eastAsia="仿宋_GB2312" w:cs="仿宋_GB2312"/>
          <w:b/>
          <w:bCs w:val="0"/>
          <w:sz w:val="28"/>
          <w:szCs w:val="28"/>
        </w:rPr>
        <w:t>《</w:t>
      </w:r>
      <w:r>
        <w:rPr>
          <w:rFonts w:hint="eastAsia" w:ascii="仿宋_GB2312" w:hAnsi="仿宋_GB2312" w:eastAsia="仿宋_GB2312" w:cs="仿宋_GB2312"/>
          <w:b/>
          <w:bCs w:val="0"/>
          <w:sz w:val="28"/>
          <w:szCs w:val="28"/>
        </w:rPr>
        <w:t>油茶籽油质量安全提升与追溯信息采集规范》团体标准制定</w:t>
      </w:r>
      <w:r>
        <w:rPr>
          <w:rFonts w:hint="eastAsia" w:ascii="仿宋_GB2312" w:hAnsi="仿宋_GB2312" w:eastAsia="仿宋_GB2312" w:cs="仿宋_GB2312"/>
          <w:b/>
          <w:bCs w:val="0"/>
          <w:sz w:val="28"/>
          <w:szCs w:val="28"/>
          <w:lang w:val="en-US" w:eastAsia="zh-CN"/>
        </w:rPr>
        <w:t>的意义</w:t>
      </w:r>
    </w:p>
    <w:p>
      <w:pPr>
        <w:ind w:firstLine="560" w:firstLineChars="200"/>
        <w:rPr>
          <w:rFonts w:ascii="仿宋_GB2312" w:hAnsi="仿宋_GB2312" w:eastAsia="仿宋_GB2312" w:cs="仿宋_GB2312"/>
          <w:sz w:val="28"/>
          <w:szCs w:val="28"/>
        </w:rPr>
      </w:pPr>
      <w:r>
        <w:rPr>
          <w:rFonts w:ascii="仿宋_GB2312" w:hAnsi="仿宋_GB2312" w:eastAsia="仿宋_GB2312" w:cs="仿宋_GB2312"/>
          <w:b w:val="0"/>
          <w:bCs/>
          <w:sz w:val="28"/>
          <w:szCs w:val="28"/>
        </w:rPr>
        <w:t>《</w:t>
      </w:r>
      <w:r>
        <w:rPr>
          <w:rFonts w:hint="eastAsia" w:ascii="仿宋_GB2312" w:hAnsi="仿宋_GB2312" w:eastAsia="仿宋_GB2312" w:cs="仿宋_GB2312"/>
          <w:b w:val="0"/>
          <w:bCs/>
          <w:sz w:val="28"/>
          <w:szCs w:val="28"/>
        </w:rPr>
        <w:t>油</w:t>
      </w:r>
      <w:r>
        <w:rPr>
          <w:rFonts w:hint="eastAsia" w:ascii="仿宋_GB2312" w:hAnsi="仿宋_GB2312" w:eastAsia="仿宋_GB2312" w:cs="仿宋_GB2312"/>
          <w:sz w:val="28"/>
          <w:szCs w:val="28"/>
        </w:rPr>
        <w:t>茶籽油质量安全提升与追溯信息采集规范》团体标准标准的制定，有利于贯彻落实《国家标准化发展纲要》、《国家标准委等十部门关于培育发展标准化服务业的指导意见》（国标委服务联[2018]18号）、《关于促进团体标准规范优质发展的意见》、《团体标准管理规定》、《关于培育和发展团体标准的指导意见》、《中国一乡一品产业促进计划高质量发展三年行动方案（2022—2024年）》、《关于推进标准引领中国民贸高质量发展的通知》中民贸【2022】35号等文件精神，培育发展一乡一品标准化服务机构，完善一乡一品标准化服务体系，提高标准供给质量和效率，推动中国民贸和中国一乡一品产业促进计划标准化工作高质量发展。</w:t>
      </w:r>
    </w:p>
    <w:p>
      <w:pPr>
        <w:ind w:firstLine="562" w:firstLineChars="200"/>
        <w:rPr>
          <w:rFonts w:ascii="仿宋_GB2312" w:hAnsi="仿宋_GB2312" w:eastAsia="仿宋_GB2312" w:cs="仿宋_GB2312"/>
          <w:b/>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A817C"/>
    <w:multiLevelType w:val="singleLevel"/>
    <w:tmpl w:val="438A817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JjNmM0MDJhZGQ4NTRlMTcyNTRmNjIwMWQ2MGYzMTUifQ=="/>
  </w:docVars>
  <w:rsids>
    <w:rsidRoot w:val="47E1785A"/>
    <w:rsid w:val="000A25FB"/>
    <w:rsid w:val="00243785"/>
    <w:rsid w:val="00576809"/>
    <w:rsid w:val="00597229"/>
    <w:rsid w:val="006D1EC1"/>
    <w:rsid w:val="009260F8"/>
    <w:rsid w:val="00977DAE"/>
    <w:rsid w:val="00AF372E"/>
    <w:rsid w:val="00CD6495"/>
    <w:rsid w:val="00D95188"/>
    <w:rsid w:val="156265D1"/>
    <w:rsid w:val="15DD7BBE"/>
    <w:rsid w:val="1A5A300C"/>
    <w:rsid w:val="1E3D5C06"/>
    <w:rsid w:val="276B7A40"/>
    <w:rsid w:val="3F7A08C8"/>
    <w:rsid w:val="42D57A6A"/>
    <w:rsid w:val="47E1785A"/>
    <w:rsid w:val="49BF11DC"/>
    <w:rsid w:val="5C856EBF"/>
    <w:rsid w:val="5F455E3C"/>
    <w:rsid w:val="6BBC3594"/>
    <w:rsid w:val="7B674168"/>
    <w:rsid w:val="7D62514A"/>
    <w:rsid w:val="7F887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9"/>
    <w:pPr>
      <w:spacing w:beforeAutospacing="1" w:afterAutospacing="1"/>
      <w:jc w:val="left"/>
      <w:outlineLvl w:val="2"/>
    </w:pPr>
    <w:rPr>
      <w:rFonts w:hint="eastAsia" w:ascii="宋体" w:hAnsi="宋体"/>
      <w:b/>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8">
    <w:name w:val="Table Paragraph"/>
    <w:basedOn w:val="1"/>
    <w:qFormat/>
    <w:uiPriority w:val="1"/>
    <w:pPr>
      <w:autoSpaceDE w:val="0"/>
      <w:autoSpaceDN w:val="0"/>
      <w:jc w:val="left"/>
    </w:pPr>
    <w:rPr>
      <w:rFonts w:ascii="宋体" w:hAnsi="宋体" w:cs="宋体"/>
      <w:kern w:val="0"/>
      <w:sz w:val="22"/>
      <w:lang w:val="zh-CN" w:bidi="zh-CN"/>
    </w:rPr>
  </w:style>
  <w:style w:type="character" w:customStyle="1" w:styleId="9">
    <w:name w:val="页眉 Char"/>
    <w:basedOn w:val="7"/>
    <w:link w:val="4"/>
    <w:qFormat/>
    <w:uiPriority w:val="0"/>
    <w:rPr>
      <w:rFonts w:ascii="Times New Roman" w:hAnsi="Times New Roman" w:eastAsia="宋体"/>
      <w:kern w:val="2"/>
      <w:sz w:val="18"/>
      <w:szCs w:val="18"/>
    </w:rPr>
  </w:style>
  <w:style w:type="character" w:customStyle="1" w:styleId="10">
    <w:name w:val="页脚 Char"/>
    <w:basedOn w:val="7"/>
    <w:link w:val="3"/>
    <w:qFormat/>
    <w:uiPriority w:val="0"/>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2</Pages>
  <Words>1032</Words>
  <Characters>1071</Characters>
  <Lines>7</Lines>
  <Paragraphs>2</Paragraphs>
  <TotalTime>0</TotalTime>
  <ScaleCrop>false</ScaleCrop>
  <LinksUpToDate>false</LinksUpToDate>
  <CharactersWithSpaces>1071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2022-04-27T02:43:00Z</dcterms:created>
  <dc:creator>厚德载物</dc:creator>
  <cp:lastModifiedBy>✨独家记忆</cp:lastModifiedBy>
  <dcterms:modified xsi:type="dcterms:W3CDTF">2022-04-29T12:30:33Z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3A9C3A83E4744AFFB203AC9FC443F6F8</vt:lpwstr>
  </property>
</Properties>
</file>